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1C723" w14:textId="77777777" w:rsidR="00EE2BD1" w:rsidRDefault="00EE2BD1" w:rsidP="00EE2BD1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Style w:val="q4iawc"/>
          <w:rFonts w:ascii="Times New Roman" w:hAnsi="Times New Roman"/>
        </w:rPr>
        <w:t xml:space="preserve">В предыдущей нашей работе </w:t>
      </w:r>
      <w:r w:rsidRPr="00EA27F6">
        <w:rPr>
          <w:rStyle w:val="q4iawc"/>
          <w:rFonts w:ascii="Times New Roman" w:hAnsi="Times New Roman"/>
        </w:rPr>
        <w:t>[</w:t>
      </w:r>
      <w:r>
        <w:rPr>
          <w:rStyle w:val="q4iawc"/>
          <w:rFonts w:ascii="Times New Roman" w:hAnsi="Times New Roman"/>
        </w:rPr>
        <w:t>Щербаков, Сычева, 2023</w:t>
      </w:r>
      <w:r w:rsidRPr="00EA27F6">
        <w:rPr>
          <w:rStyle w:val="q4iawc"/>
          <w:rFonts w:ascii="Times New Roman" w:hAnsi="Times New Roman"/>
        </w:rPr>
        <w:t>]</w:t>
      </w:r>
      <w:r>
        <w:rPr>
          <w:rStyle w:val="q4iawc"/>
          <w:rFonts w:ascii="Times New Roman" w:hAnsi="Times New Roman"/>
        </w:rPr>
        <w:t xml:space="preserve"> мы представили теорию </w:t>
      </w:r>
      <w:proofErr w:type="spellStart"/>
      <w:r>
        <w:rPr>
          <w:rStyle w:val="q4iawc"/>
          <w:rFonts w:ascii="Times New Roman" w:hAnsi="Times New Roman"/>
        </w:rPr>
        <w:t>безгистерезисной</w:t>
      </w:r>
      <w:proofErr w:type="spellEnd"/>
      <w:r>
        <w:rPr>
          <w:rStyle w:val="q4iawc"/>
          <w:rFonts w:ascii="Times New Roman" w:hAnsi="Times New Roman"/>
        </w:rPr>
        <w:t xml:space="preserve"> </w:t>
      </w:r>
      <w:r w:rsidRPr="00C12AB4">
        <w:rPr>
          <w:rStyle w:val="q4iawc"/>
          <w:rFonts w:ascii="Times New Roman" w:hAnsi="Times New Roman"/>
        </w:rPr>
        <w:t>остаточной намагниченности</w:t>
      </w:r>
      <w:r>
        <w:rPr>
          <w:rStyle w:val="q4iawc"/>
          <w:rFonts w:ascii="Times New Roman" w:hAnsi="Times New Roman"/>
        </w:rPr>
        <w:t xml:space="preserve"> (</w:t>
      </w:r>
      <w:r w:rsidRPr="0036525F">
        <w:rPr>
          <w:rFonts w:ascii="Times New Roman" w:eastAsiaTheme="minorEastAsia" w:hAnsi="Times New Roman" w:cs="Times New Roman"/>
          <w:sz w:val="24"/>
          <w:szCs w:val="24"/>
          <w:lang w:val="en-US"/>
        </w:rPr>
        <w:t>ARM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71039E">
        <w:rPr>
          <w:rStyle w:val="q4iawc"/>
          <w:rFonts w:ascii="Times New Roman" w:hAnsi="Times New Roman"/>
          <w:smallCaps/>
        </w:rPr>
        <w:t xml:space="preserve"> </w:t>
      </w:r>
      <w:r w:rsidRPr="00710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одноосных однодоменных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(ОД) </w:t>
      </w:r>
      <w:r w:rsidRPr="0071039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ц, но при этом для относительной простоты анализа ограничились рассмотрением </w:t>
      </w:r>
      <w:r w:rsidRPr="00C0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ориентированных частиц, когда внешнее магнитное поле </w:t>
      </w:r>
      <w:r w:rsidRPr="00C0575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</w:t>
      </w:r>
      <w:r w:rsidRPr="00C0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параллельно (либо антипараллельно)</w:t>
      </w:r>
      <w:r w:rsidRPr="00C0575E">
        <w:rPr>
          <w:rFonts w:ascii="Times New Roman" w:hAnsi="Times New Roman" w:cs="Times New Roman"/>
          <w:sz w:val="24"/>
          <w:szCs w:val="24"/>
        </w:rPr>
        <w:t xml:space="preserve"> вектору</w:t>
      </w:r>
      <w:r w:rsidRPr="00C0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гкой оси частицы </w:t>
      </w:r>
      <w:r w:rsidRPr="00C0575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</w:t>
      </w:r>
      <w:r w:rsidRPr="00C057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0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На практике же, однако, легкие оси частиц </w:t>
      </w:r>
      <w:r w:rsidRPr="00AC46F8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l</w:t>
      </w:r>
      <w:r w:rsidRPr="00AC46F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распределены хаотично в пространстве, что уменьшает интенсивности</w:t>
      </w:r>
      <w:r w:rsidRPr="0036525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6525F">
        <w:rPr>
          <w:rFonts w:ascii="Times New Roman" w:eastAsiaTheme="minorEastAsia" w:hAnsi="Times New Roman" w:cs="Times New Roman"/>
          <w:sz w:val="24"/>
          <w:szCs w:val="24"/>
          <w:lang w:val="en-US"/>
        </w:rPr>
        <w:t>ARM</w:t>
      </w:r>
      <w:r w:rsidRPr="0036525F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w:r w:rsidRPr="0036525F">
        <w:rPr>
          <w:rFonts w:ascii="Times New Roman" w:eastAsiaTheme="minorEastAsia" w:hAnsi="Times New Roman" w:cs="Times New Roman"/>
          <w:sz w:val="24"/>
          <w:szCs w:val="24"/>
          <w:lang w:val="en-US"/>
        </w:rPr>
        <w:t>TRM</w:t>
      </w:r>
      <w:r w:rsidRPr="0036525F">
        <w:rPr>
          <w:rFonts w:ascii="Times New Roman" w:eastAsiaTheme="minorEastAsia" w:hAnsi="Times New Roman" w:cs="Times New Roman"/>
          <w:sz w:val="24"/>
          <w:szCs w:val="24"/>
        </w:rPr>
        <w:t xml:space="preserve">. Если для </w:t>
      </w:r>
      <w:r w:rsidRPr="0036525F">
        <w:rPr>
          <w:rFonts w:ascii="Times New Roman" w:eastAsiaTheme="minorEastAsia" w:hAnsi="Times New Roman" w:cs="Times New Roman"/>
          <w:sz w:val="24"/>
          <w:szCs w:val="24"/>
          <w:lang w:val="en-US"/>
        </w:rPr>
        <w:t>TRM</w:t>
      </w:r>
      <w:r w:rsidRPr="0036525F">
        <w:rPr>
          <w:rFonts w:ascii="Times New Roman" w:eastAsiaTheme="minorEastAsia" w:hAnsi="Times New Roman" w:cs="Times New Roman"/>
          <w:sz w:val="24"/>
          <w:szCs w:val="24"/>
        </w:rPr>
        <w:t xml:space="preserve"> поправка сводится просто к появлению множителя 1/3 в формуле </w:t>
      </w:r>
      <w:r w:rsidRPr="005505A1">
        <w:rPr>
          <w:rFonts w:ascii="Times New Roman" w:eastAsiaTheme="minorEastAsia" w:hAnsi="Times New Roman" w:cs="Times New Roman"/>
          <w:sz w:val="24"/>
          <w:szCs w:val="24"/>
        </w:rPr>
        <w:t>[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Нагата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5505A1">
        <w:rPr>
          <w:rFonts w:ascii="Times New Roman" w:eastAsiaTheme="minorEastAsia" w:hAnsi="Times New Roman" w:cs="Times New Roman"/>
          <w:sz w:val="24"/>
          <w:szCs w:val="24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>965</w:t>
      </w:r>
      <w:r w:rsidRPr="005505A1">
        <w:rPr>
          <w:rFonts w:ascii="Times New Roman" w:eastAsiaTheme="minorEastAsia" w:hAnsi="Times New Roman" w:cs="Times New Roman"/>
          <w:sz w:val="24"/>
          <w:szCs w:val="24"/>
        </w:rPr>
        <w:t>]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14:paraId="5E7155FE" w14:textId="77777777" w:rsidR="00EE2BD1" w:rsidRDefault="00EE2BD1" w:rsidP="00EE2BD1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CFCC7AB" w14:textId="77777777" w:rsidR="00EE2BD1" w:rsidRDefault="00EE2BD1" w:rsidP="00EE2BD1">
      <w:pPr>
        <w:spacing w:after="0" w:line="360" w:lineRule="auto"/>
        <w:ind w:firstLine="708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Hlk192065073"/>
      <m:oMath>
        <m:r>
          <w:rPr>
            <w:rFonts w:ascii="Cambria Math" w:eastAsiaTheme="minorEastAsia" w:hAnsi="Cambria Math" w:cs="Times New Roman"/>
            <w:sz w:val="24"/>
            <w:szCs w:val="24"/>
          </w:rPr>
          <m:t>M=mn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tan</m:t>
            </m:r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b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k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b</m:t>
                    </m:r>
                  </m:sub>
                </m:sSub>
              </m:den>
            </m:f>
          </m:e>
        </m:func>
      </m:oMath>
      <w:bookmarkEnd w:id="0"/>
      <w:r w:rsidRPr="005832E9">
        <w:rPr>
          <w:rFonts w:ascii="Times New Roman" w:eastAsiaTheme="minorEastAsia" w:hAnsi="Times New Roman" w:cs="Times New Roman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5832E9">
        <w:rPr>
          <w:rFonts w:ascii="Times New Roman" w:eastAsiaTheme="minorEastAsia" w:hAnsi="Times New Roman" w:cs="Times New Roman"/>
          <w:sz w:val="24"/>
          <w:szCs w:val="24"/>
        </w:rPr>
        <w:t>(1)</w:t>
      </w:r>
    </w:p>
    <w:p w14:paraId="4884AF28" w14:textId="77777777" w:rsidR="00EE2BD1" w:rsidRDefault="00EE2BD1" w:rsidP="00EE2BD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54068AD" w14:textId="77777777" w:rsidR="00EE2BD1" w:rsidRDefault="00EE2BD1" w:rsidP="00EE2BD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832E9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где: </w:t>
      </w:r>
      <w:r w:rsidRPr="005832E9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</w:t>
      </w:r>
      <w:r w:rsidRPr="005832E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– величина магнитного момента; </w:t>
      </w:r>
      <w:r w:rsidRPr="005832E9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n</w:t>
      </w:r>
      <w:r w:rsidRPr="005832E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–</w:t>
      </w:r>
      <w:r w:rsidRPr="005832E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плотность; </w:t>
      </w:r>
      <w:r w:rsidRPr="005832E9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T</w:t>
      </w:r>
      <w:r w:rsidRPr="00C62D45">
        <w:rPr>
          <w:rFonts w:ascii="Times New Roman" w:eastAsiaTheme="minorEastAsia" w:hAnsi="Times New Roman" w:cs="Times New Roman"/>
          <w:i/>
          <w:iCs/>
          <w:sz w:val="24"/>
          <w:szCs w:val="24"/>
          <w:vertAlign w:val="subscript"/>
          <w:lang w:val="en-US"/>
        </w:rPr>
        <w:t>b</w:t>
      </w:r>
      <w:r w:rsidRPr="005832E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– блокирующая температура; </w:t>
      </w:r>
      <w:r w:rsidRPr="005832E9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k</w:t>
      </w:r>
      <w:r w:rsidRPr="005832E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–</w:t>
      </w:r>
      <w:r w:rsidRPr="005832E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постоянная Больцмана;</w:t>
      </w:r>
      <w:r w:rsidRPr="005832E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5832E9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B</w:t>
      </w:r>
      <w:r w:rsidRPr="005832E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– внешнее поле), </w:t>
      </w:r>
      <w:r w:rsidRPr="0036525F">
        <w:rPr>
          <w:rFonts w:ascii="Times New Roman" w:eastAsiaTheme="minorEastAsia" w:hAnsi="Times New Roman" w:cs="Times New Roman"/>
          <w:sz w:val="24"/>
          <w:szCs w:val="24"/>
        </w:rPr>
        <w:t xml:space="preserve">то для </w:t>
      </w:r>
      <w:r w:rsidRPr="0036525F">
        <w:rPr>
          <w:rFonts w:ascii="Times New Roman" w:eastAsiaTheme="minorEastAsia" w:hAnsi="Times New Roman" w:cs="Times New Roman"/>
          <w:sz w:val="24"/>
          <w:szCs w:val="24"/>
          <w:lang w:val="en-US"/>
        </w:rPr>
        <w:t>ARM</w:t>
      </w:r>
      <w:r w:rsidRPr="0036525F">
        <w:rPr>
          <w:rFonts w:ascii="Times New Roman" w:eastAsiaTheme="minorEastAsia" w:hAnsi="Times New Roman" w:cs="Times New Roman"/>
          <w:sz w:val="24"/>
          <w:szCs w:val="24"/>
        </w:rPr>
        <w:t xml:space="preserve"> ситуация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оказывается намного более сложной, поскольку энергия частицы </w:t>
      </w:r>
      <w:r w:rsidRPr="00C964E9">
        <w:rPr>
          <w:rFonts w:ascii="Times New Roman" w:eastAsiaTheme="minorEastAsia" w:hAnsi="Times New Roman" w:cs="Times New Roman"/>
          <w:sz w:val="24"/>
          <w:szCs w:val="24"/>
        </w:rPr>
        <w:t>(формула (2), ниже), а вместе с ней и потенциальный барьер завис</w:t>
      </w:r>
      <w:r>
        <w:rPr>
          <w:rFonts w:ascii="Times New Roman" w:eastAsiaTheme="minorEastAsia" w:hAnsi="Times New Roman" w:cs="Times New Roman"/>
          <w:sz w:val="24"/>
          <w:szCs w:val="24"/>
        </w:rPr>
        <w:t>я</w:t>
      </w:r>
      <w:r w:rsidRPr="00C964E9">
        <w:rPr>
          <w:rFonts w:ascii="Times New Roman" w:eastAsiaTheme="minorEastAsia" w:hAnsi="Times New Roman" w:cs="Times New Roman"/>
          <w:sz w:val="24"/>
          <w:szCs w:val="24"/>
        </w:rPr>
        <w:t xml:space="preserve">т от величины угла </w:t>
      </w:r>
      <w:r w:rsidRPr="00C62D45">
        <w:rPr>
          <w:rFonts w:ascii="Times New Roman" w:eastAsiaTheme="minorEastAsia" w:hAnsi="Times New Roman" w:cs="Times New Roman"/>
          <w:iCs/>
          <w:sz w:val="24"/>
          <w:szCs w:val="24"/>
        </w:rPr>
        <w:sym w:font="Symbol" w:char="F079"/>
      </w:r>
      <w:r w:rsidRPr="00C964E9">
        <w:rPr>
          <w:rFonts w:ascii="Times New Roman" w:eastAsiaTheme="minorEastAsia" w:hAnsi="Times New Roman" w:cs="Times New Roman"/>
          <w:sz w:val="24"/>
          <w:szCs w:val="24"/>
        </w:rPr>
        <w:t xml:space="preserve"> между </w:t>
      </w:r>
      <w:r w:rsidRPr="00C964E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B</w:t>
      </w:r>
      <w:r w:rsidRPr="00C964E9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w:r w:rsidRPr="00C964E9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l</w:t>
      </w:r>
      <w:r w:rsidRPr="00C964E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B64885">
        <w:rPr>
          <w:rFonts w:ascii="Times New Roman" w:eastAsiaTheme="minorEastAsia" w:hAnsi="Times New Roman" w:cs="Times New Roman"/>
          <w:sz w:val="24"/>
          <w:szCs w:val="24"/>
          <w:highlight w:val="yellow"/>
        </w:rPr>
        <w:t>(рис. 1а)</w:t>
      </w:r>
      <w:r w:rsidRPr="00C964E9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Как результат взаимоотношения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ARM</w:t>
      </w:r>
      <w:r w:rsidRPr="00671F5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TRM</w:t>
      </w:r>
      <w:r w:rsidRPr="00671F53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</w:rPr>
        <w:t>полученные в предыдущей работе, могут существенно измениться, а от этого зависит и форма диаграммы псевдо-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Араи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, свойства которой являются ключевыми при оценке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палеонапряженности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методом псевдо-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Телье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6F0466D4" w14:textId="77777777" w:rsidR="00D42964" w:rsidRDefault="00D42964"/>
    <w:sectPr w:rsidR="00D42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BD1"/>
    <w:rsid w:val="0083114F"/>
    <w:rsid w:val="00D42964"/>
    <w:rsid w:val="00EE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EE960"/>
  <w15:chartTrackingRefBased/>
  <w15:docId w15:val="{BBDE12EA-E92A-413E-AC1F-B00FC9209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4iawc">
    <w:name w:val="q4iawc"/>
    <w:basedOn w:val="a0"/>
    <w:rsid w:val="00EE2BD1"/>
  </w:style>
  <w:style w:type="character" w:customStyle="1" w:styleId="MTConvertedEquation">
    <w:name w:val="MTConvertedEquation"/>
    <w:basedOn w:val="a0"/>
    <w:rsid w:val="00EE2BD1"/>
    <w:rPr>
      <w:rFonts w:ascii="Cambria Math" w:hAnsi="Cambria Math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Tatiana</cp:lastModifiedBy>
  <cp:revision>1</cp:revision>
  <dcterms:created xsi:type="dcterms:W3CDTF">2025-03-05T08:04:00Z</dcterms:created>
  <dcterms:modified xsi:type="dcterms:W3CDTF">2025-03-05T08:04:00Z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