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F37" w:rsidRDefault="0094363D">
      <w:pPr>
        <w:spacing w:after="256"/>
        <w:ind w:left="-15" w:right="-15" w:firstLine="0"/>
      </w:pPr>
      <w:r>
        <w:t xml:space="preserve">кончик синего </w:t>
      </w:r>
      <w:proofErr w:type="spellStart"/>
      <w:r>
        <w:t>интродьюсера</w:t>
      </w:r>
      <w:proofErr w:type="spellEnd"/>
      <w:r>
        <w:t xml:space="preserve"> и доставочный катетер, посредством эхо-контроля необходимо убедиться, что кончик доставочного катетера все еще находится в просвете вены. Это особенно актуально у пациентов с выраженной подкожной жировой клетчаткой с глу</w:t>
      </w:r>
      <w:r>
        <w:t xml:space="preserve">боким расположением </w:t>
      </w:r>
      <w:proofErr w:type="spellStart"/>
      <w:r>
        <w:t>сафенной</w:t>
      </w:r>
      <w:proofErr w:type="spellEnd"/>
      <w:r>
        <w:t xml:space="preserve"> вены. Если эхо-картина сомнений не вызывает, то выполняется последнее введение клея в вену и катетер резким движением извлекается, а место доступа сдавливается марлевой салфеткой до достижения гемостаза. В соответствии с модифи</w:t>
      </w:r>
      <w:r>
        <w:t xml:space="preserve">цированным протоколом, после того как в месте доступа появляется метка 5 см на синем </w:t>
      </w:r>
      <w:proofErr w:type="spellStart"/>
      <w:r>
        <w:t>интродьюсере</w:t>
      </w:r>
      <w:proofErr w:type="spellEnd"/>
      <w:r>
        <w:t xml:space="preserve">, производится последнее введение клея в вену и катетер вытягивается на 3 см и проводится мануальная компрессия. По истечении 30 с из </w:t>
      </w:r>
      <w:proofErr w:type="spellStart"/>
      <w:r>
        <w:t>интродьюсера</w:t>
      </w:r>
      <w:proofErr w:type="spellEnd"/>
      <w:r>
        <w:t xml:space="preserve"> отсоединяетс</w:t>
      </w:r>
      <w:r>
        <w:t xml:space="preserve">я и извлекается доставочный катетер до проксимальной лазерной насечки. Далее извлекается </w:t>
      </w:r>
      <w:proofErr w:type="spellStart"/>
      <w:r>
        <w:t>интродьюсер</w:t>
      </w:r>
      <w:proofErr w:type="spellEnd"/>
      <w:r>
        <w:t xml:space="preserve"> вместе с доставочным катетером. Место венозного доступа прижимается с наложением </w:t>
      </w:r>
      <w:proofErr w:type="spellStart"/>
      <w:r>
        <w:t>стрипов</w:t>
      </w:r>
      <w:proofErr w:type="spellEnd"/>
      <w:r>
        <w:t xml:space="preserve"> и асептической наклейки. Модифицированный вариант извлечения катет</w:t>
      </w:r>
      <w:r>
        <w:t xml:space="preserve">ера нацелен на минимизацию риска </w:t>
      </w:r>
      <w:proofErr w:type="spellStart"/>
      <w:r>
        <w:t>экстравазации</w:t>
      </w:r>
      <w:proofErr w:type="spellEnd"/>
      <w:r>
        <w:t xml:space="preserve"> клея и его контакта с мягкими тканями и возможности формирования гранулемы инородного тела. По окончании процедуры проводится контрольное </w:t>
      </w:r>
      <w:proofErr w:type="spellStart"/>
      <w:r>
        <w:t>УЗИ</w:t>
      </w:r>
      <w:proofErr w:type="spellEnd"/>
      <w:r>
        <w:t xml:space="preserve"> зоны соустья и ствола заклеенной вены на всем протяжении. На данном</w:t>
      </w:r>
      <w:r>
        <w:t xml:space="preserve"> этапе вмешательство </w:t>
      </w:r>
      <w:proofErr w:type="gramStart"/>
      <w:r>
        <w:t>завершается</w:t>
      </w:r>
      <w:proofErr w:type="gramEnd"/>
      <w:r>
        <w:t xml:space="preserve"> и пациент немедленно активизируется без необходимости ношения компрессионного трикотажа. </w:t>
      </w:r>
    </w:p>
    <w:p w:rsidR="008A1F37" w:rsidRDefault="0094363D">
      <w:pPr>
        <w:spacing w:line="259" w:lineRule="auto"/>
        <w:ind w:right="0" w:firstLine="0"/>
        <w:jc w:val="left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>
                <wp:extent cx="88555" cy="102260"/>
                <wp:effectExtent l="0" t="0" r="0" b="0"/>
                <wp:docPr id="1034" name="Group 10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555" cy="102260"/>
                          <a:chOff x="0" y="0"/>
                          <a:chExt cx="88555" cy="102260"/>
                        </a:xfrm>
                      </wpg:grpSpPr>
                      <wps:wsp>
                        <wps:cNvPr id="45" name="Shape 45"/>
                        <wps:cNvSpPr/>
                        <wps:spPr>
                          <a:xfrm>
                            <a:off x="44277" y="25578"/>
                            <a:ext cx="44272" cy="76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72" h="76683">
                                <a:moveTo>
                                  <a:pt x="44272" y="0"/>
                                </a:moveTo>
                                <a:lnTo>
                                  <a:pt x="44272" y="51117"/>
                                </a:lnTo>
                                <a:lnTo>
                                  <a:pt x="0" y="76683"/>
                                </a:lnTo>
                                <a:lnTo>
                                  <a:pt x="0" y="25552"/>
                                </a:lnTo>
                                <a:lnTo>
                                  <a:pt x="4427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241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6" y="25565"/>
                            <a:ext cx="44272" cy="51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72" h="51130">
                                <a:moveTo>
                                  <a:pt x="0" y="0"/>
                                </a:moveTo>
                                <a:lnTo>
                                  <a:pt x="44272" y="25565"/>
                                </a:lnTo>
                                <a:lnTo>
                                  <a:pt x="0" y="51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F413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51130"/>
                            <a:ext cx="44272" cy="51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72" h="51130">
                                <a:moveTo>
                                  <a:pt x="44272" y="0"/>
                                </a:moveTo>
                                <a:lnTo>
                                  <a:pt x="44272" y="51130"/>
                                </a:lnTo>
                                <a:lnTo>
                                  <a:pt x="0" y="25565"/>
                                </a:lnTo>
                                <a:lnTo>
                                  <a:pt x="4427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12F2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1" y="0"/>
                            <a:ext cx="44272" cy="51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72" h="51130">
                                <a:moveTo>
                                  <a:pt x="44272" y="0"/>
                                </a:moveTo>
                                <a:lnTo>
                                  <a:pt x="44272" y="51130"/>
                                </a:lnTo>
                                <a:lnTo>
                                  <a:pt x="0" y="25565"/>
                                </a:lnTo>
                                <a:lnTo>
                                  <a:pt x="4427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6453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44282" y="0"/>
                            <a:ext cx="44272" cy="51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72" h="51130">
                                <a:moveTo>
                                  <a:pt x="0" y="0"/>
                                </a:moveTo>
                                <a:lnTo>
                                  <a:pt x="44272" y="25565"/>
                                </a:lnTo>
                                <a:lnTo>
                                  <a:pt x="0" y="51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B31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D2D708" id="Group 1034" o:spid="_x0000_s1026" style="width:6.95pt;height:8.05pt;mso-position-horizontal-relative:char;mso-position-vertical-relative:line" coordsize="88555,102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">
                <v:shape id="Shape 45" o:spid="_x0000_s1027" style="position:absolute;left:44277;top:25578;width:44272;height:76683;visibility:visible;mso-wrap-style:square;v-text-anchor:top" coordsize="44272,76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ExaMQA&#10;AADbAAAADwAAAGRycy9kb3ducmV2LnhtbESPQWsCMRSE7wX/Q3hCbzWr1SqrUaTQ4qWHbgXx9kie&#10;u6ubl22Sutt/3xQEj8PMfMOsNr1txJV8qB0rGI8yEMTamZpLBfuvt6cFiBCRDTaOScEvBdisBw8r&#10;zI3r+JOuRSxFgnDIUUEVY5tLGXRFFsPItcTJOzlvMSbpS2k8dgluGznJshdpsea0UGFLrxXpS/Fj&#10;FTTz9248PX7zbqKLZ3/Qtvw4W6Ueh/12CSJSH+/hW3tnFExn8P8l/Q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RMWjEAAAA2wAAAA8AAAAAAAAAAAAAAAAAmAIAAGRycy9k&#10;b3ducmV2LnhtbFBLBQYAAAAABAAEAPUAAACJAwAAAAA=&#10;" path="m44272,r,51117l,76683,,25552,44272,xe" fillcolor="#80241f" stroked="f" strokeweight="0">
                  <v:stroke miterlimit="83231f" joinstyle="miter"/>
                  <v:path arrowok="t" textboxrect="0,0,44272,76683"/>
                </v:shape>
                <v:shape id="Shape 46" o:spid="_x0000_s1028" style="position:absolute;left:6;top:25565;width:44272;height:51130;visibility:visible;mso-wrap-style:square;v-text-anchor:top" coordsize="44272,5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U/cIA&#10;AADbAAAADwAAAGRycy9kb3ducmV2LnhtbESPQWsCMRSE7wX/Q3hCbzWrVC1bo7QVQbx114PHx+a5&#10;Wdy8LEl0t//eCEKPw8x8w6w2g23FjXxoHCuYTjIQxJXTDdcKjuXu7QNEiMgaW8ek4I8CbNajlxXm&#10;2vX8S7ci1iJBOOSowMTY5VKGypDFMHEdcfLOzluMSfpaao99gttWzrJsIS02nBYMdvRjqLoUV6sg&#10;bH317Wfl6VpuuTDnOS7n/UGp1/Hw9Qki0hD/w8/2Xit4X8DjS/o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NT9wgAAANsAAAAPAAAAAAAAAAAAAAAAAJgCAABkcnMvZG93&#10;bnJldi54bWxQSwUGAAAAAAQABAD1AAAAhwMAAAAA&#10;" path="m,l44272,25565,,51130,,xe" fillcolor="#cf413b" stroked="f" strokeweight="0">
                  <v:stroke miterlimit="83231f" joinstyle="miter"/>
                  <v:path arrowok="t" textboxrect="0,0,44272,51130"/>
                </v:shape>
                <v:shape id="Shape 47" o:spid="_x0000_s1029" style="position:absolute;top:51130;width:44272;height:51130;visibility:visible;mso-wrap-style:square;v-text-anchor:top" coordsize="44272,5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68lsUA&#10;AADbAAAADwAAAGRycy9kb3ducmV2LnhtbESPT2vCQBTE70K/w/IK3nQTKa1GV7FWqSfBP6DHZ/Y1&#10;SZt9G7Krid/eFQoeh5n5DTOZtaYUV6pdYVlB3I9AEKdWF5wpOOxXvSEI55E1lpZJwY0czKYvnQkm&#10;2ja8pevOZyJA2CWoIPe+SqR0aU4GXd9WxMH7sbVBH2SdSV1jE+CmlIMoepcGCw4LOVa0yCn9212M&#10;gq0+V83m6Een3/nX5vvzFC/LdaxU97Wdj0F4av0z/N9eawVvH/D4En6An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ryWxQAAANsAAAAPAAAAAAAAAAAAAAAAAJgCAABkcnMv&#10;ZG93bnJldi54bWxQSwUGAAAAAAQABAD1AAAAigMAAAAA&#10;" path="m44272,r,51130l,25565,44272,xe" fillcolor="#c12f28" stroked="f" strokeweight="0">
                  <v:stroke miterlimit="83231f" joinstyle="miter"/>
                  <v:path arrowok="t" textboxrect="0,0,44272,51130"/>
                </v:shape>
                <v:shape id="Shape 48" o:spid="_x0000_s1030" style="position:absolute;left:1;width:44272;height:51130;visibility:visible;mso-wrap-style:square;v-text-anchor:top" coordsize="44272,5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XZMIA&#10;AADbAAAADwAAAGRycy9kb3ducmV2LnhtbERPu2rDMBTdC/kHcQvZGrkltMGNYkqKiYcOzWNItot1&#10;Y5lYV8ZSbPXvq6HQ8XDe6yLaTow0+NaxgudFBoK4drrlRsHpWD6tQPiArLFzTAp+yEOxmT2sMddu&#10;4j2Nh9CIFMI+RwUmhD6X0teGLPqF64kTd3WDxZDg0Eg94JTCbSdfsuxVWmw5NRjsaWuovh3uVgGd&#10;7O3te3c1dK6msy4v+8/4FZWaP8aPdxCBYvgX/7krrWCZxqYv6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9pdkwgAAANsAAAAPAAAAAAAAAAAAAAAAAJgCAABkcnMvZG93&#10;bnJldi54bWxQSwUGAAAAAAQABAD1AAAAhwMAAAAA&#10;" path="m44272,r,51130l,25565,44272,xe" fillcolor="#e6453f" stroked="f" strokeweight="0">
                  <v:stroke miterlimit="83231f" joinstyle="miter"/>
                  <v:path arrowok="t" textboxrect="0,0,44272,51130"/>
                </v:shape>
                <v:shape id="Shape 49" o:spid="_x0000_s1031" style="position:absolute;left:44282;width:44272;height:51130;visibility:visible;mso-wrap-style:square;v-text-anchor:top" coordsize="44272,5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aD+MMA&#10;AADbAAAADwAAAGRycy9kb3ducmV2LnhtbESP0YrCMBRE3wX/IVzBF9F0RUWrURYXYR8WxOoHXJtr&#10;W2xuSpKt9e83C4KPw8ycYTa7ztSiJecrywo+JgkI4tzqigsFl/NhvAThA7LG2jIpeJKH3bbf22Cq&#10;7YNP1GahEBHCPkUFZQhNKqXPSzLoJ7Yhjt7NOoMhSldI7fAR4aaW0yRZSIMVx4USG9qXlN+zX6OA&#10;f7LTbbZfNF/Hdn5155G/VPelUsNB97kGEagL7/Cr/a0VzFbw/yX+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aD+MMAAADbAAAADwAAAAAAAAAAAAAAAACYAgAAZHJzL2Rv&#10;d25yZXYueG1sUEsFBgAAAAAEAAQA9QAAAIgDAAAAAA==&#10;" path="m,l44272,25565,,51130,,xe" fillcolor="#ab312a" stroked="f" strokeweight="0">
                  <v:stroke miterlimit="83231f" joinstyle="miter"/>
                  <v:path arrowok="t" textboxrect="0,0,44272,51130"/>
                </v:shape>
                <w10:anchorlock/>
              </v:group>
            </w:pict>
          </mc:Fallback>
        </mc:AlternateContent>
      </w:r>
      <w:r>
        <w:rPr>
          <w:rFonts w:ascii="OfficinaSansC" w:eastAsia="OfficinaSansC" w:hAnsi="OfficinaSansC" w:cs="OfficinaSansC"/>
          <w:b/>
          <w:sz w:val="23"/>
        </w:rPr>
        <w:t xml:space="preserve"> ИСХОДЫ КЛЕЕВОЙ ОБЛИТЕРАЦИИ</w:t>
      </w:r>
    </w:p>
    <w:p w:rsidR="008A1F37" w:rsidRDefault="0094363D">
      <w:pPr>
        <w:ind w:left="-15" w:right="-15" w:firstLine="0"/>
      </w:pPr>
      <w:r>
        <w:t xml:space="preserve">Ближайшие и отдаленные результаты </w:t>
      </w:r>
      <w:proofErr w:type="spellStart"/>
      <w:r>
        <w:t>ЦКО</w:t>
      </w:r>
      <w:proofErr w:type="spellEnd"/>
      <w:r>
        <w:t xml:space="preserve"> магистральных подкожных вен исследованы в ряде международных иссле</w:t>
      </w:r>
      <w:r>
        <w:t xml:space="preserve">дований [1–4], в проведенных за последние годы </w:t>
      </w:r>
      <w:proofErr w:type="spellStart"/>
      <w:r>
        <w:t>метаанализах</w:t>
      </w:r>
      <w:proofErr w:type="spellEnd"/>
      <w:r>
        <w:t xml:space="preserve"> и системных обзорах [15–19], а также результатах реальной клинической практики [20–22], свидетельствующих о сопоставимой </w:t>
      </w:r>
      <w:r>
        <w:t xml:space="preserve">с </w:t>
      </w:r>
      <w:proofErr w:type="spellStart"/>
      <w:r>
        <w:t>термооблитерацией</w:t>
      </w:r>
      <w:proofErr w:type="spellEnd"/>
      <w:r>
        <w:t xml:space="preserve"> безопасности и эффективности </w:t>
      </w:r>
      <w:proofErr w:type="spellStart"/>
      <w:r>
        <w:t>ЦКО</w:t>
      </w:r>
      <w:proofErr w:type="spellEnd"/>
      <w:r>
        <w:t>. Наряду с этим, показа</w:t>
      </w:r>
      <w:r>
        <w:t xml:space="preserve">но, что </w:t>
      </w:r>
      <w:proofErr w:type="spellStart"/>
      <w:r>
        <w:t>ЦКО</w:t>
      </w:r>
      <w:proofErr w:type="spellEnd"/>
      <w:r>
        <w:t xml:space="preserve"> имеет очевидные преимущества в отношении таких ключевых показателей качества медицинской помощи, как уровень </w:t>
      </w:r>
      <w:proofErr w:type="spellStart"/>
      <w:r>
        <w:t>периоперационных</w:t>
      </w:r>
      <w:proofErr w:type="spellEnd"/>
      <w:r>
        <w:t xml:space="preserve"> болей и </w:t>
      </w:r>
      <w:proofErr w:type="spellStart"/>
      <w:r>
        <w:t>экхимозов</w:t>
      </w:r>
      <w:proofErr w:type="spellEnd"/>
      <w:r>
        <w:t>, частота нежелательных явлений и осложнений (таких как парестезии и гиперпигментации), быстрота выпо</w:t>
      </w:r>
      <w:r>
        <w:t xml:space="preserve">лнения процедуры, комфорт и удовлетворенность пациентов. </w:t>
      </w:r>
      <w:proofErr w:type="spellStart"/>
      <w:r>
        <w:t>ЦКО</w:t>
      </w:r>
      <w:proofErr w:type="spellEnd"/>
      <w:r>
        <w:t xml:space="preserve"> не сопровождается такими характерными для </w:t>
      </w:r>
      <w:proofErr w:type="spellStart"/>
      <w:r>
        <w:t>термооблитерации</w:t>
      </w:r>
      <w:proofErr w:type="spellEnd"/>
      <w:r>
        <w:t xml:space="preserve"> осложнениями, как парестезии вследствие повреждения кожных ветвей </w:t>
      </w:r>
      <w:r>
        <w:rPr>
          <w:i/>
        </w:rPr>
        <w:t xml:space="preserve">n. </w:t>
      </w:r>
      <w:proofErr w:type="spellStart"/>
      <w:r>
        <w:rPr>
          <w:i/>
        </w:rPr>
        <w:t>saphenus</w:t>
      </w:r>
      <w:proofErr w:type="spellEnd"/>
      <w:r>
        <w:t xml:space="preserve"> и </w:t>
      </w:r>
      <w:r>
        <w:rPr>
          <w:i/>
        </w:rPr>
        <w:t xml:space="preserve">n. </w:t>
      </w:r>
      <w:proofErr w:type="spellStart"/>
      <w:r>
        <w:rPr>
          <w:i/>
        </w:rPr>
        <w:t>suralis</w:t>
      </w:r>
      <w:proofErr w:type="spellEnd"/>
      <w:r>
        <w:t>, а также риска термических ожогов, и значител</w:t>
      </w:r>
      <w:r>
        <w:t xml:space="preserve">ьно реже – </w:t>
      </w:r>
      <w:proofErr w:type="spellStart"/>
      <w:r>
        <w:t>интраоперационной</w:t>
      </w:r>
      <w:proofErr w:type="spellEnd"/>
      <w:r>
        <w:t xml:space="preserve"> фрагментации и эмболии нагревательного элемента. Больших осложнений, таких как тромбозы глубоких вен и тромбоэмболии легочной артерии после </w:t>
      </w:r>
      <w:proofErr w:type="spellStart"/>
      <w:r>
        <w:t>ЦКО</w:t>
      </w:r>
      <w:proofErr w:type="spellEnd"/>
      <w:r>
        <w:t xml:space="preserve">, по данным </w:t>
      </w:r>
      <w:proofErr w:type="spellStart"/>
      <w:r>
        <w:t>РКИ</w:t>
      </w:r>
      <w:proofErr w:type="spellEnd"/>
      <w:r>
        <w:t xml:space="preserve"> и реальной клинической практики, не описано. Однако в вышеупомянутой</w:t>
      </w:r>
      <w:r>
        <w:t xml:space="preserve"> недавно вышедшей статье такие указания присутствуют, но без достаточных клинических данных и с отсутствием причинно- следственной связи с перенесенной процедурой </w:t>
      </w:r>
      <w:proofErr w:type="spellStart"/>
      <w:r>
        <w:t>ЦКО</w:t>
      </w:r>
      <w:proofErr w:type="spellEnd"/>
      <w:r>
        <w:t xml:space="preserve"> [7]. Малые осложнения после клеевой облитерации вен достаточно специфичны. Это такие неже</w:t>
      </w:r>
      <w:r>
        <w:t xml:space="preserve">лательные явления, как </w:t>
      </w:r>
      <w:proofErr w:type="spellStart"/>
      <w:r>
        <w:t>флебитическая</w:t>
      </w:r>
      <w:proofErr w:type="spellEnd"/>
      <w:r>
        <w:t xml:space="preserve"> («</w:t>
      </w:r>
      <w:proofErr w:type="spellStart"/>
      <w:r>
        <w:t>флебитоподобная</w:t>
      </w:r>
      <w:proofErr w:type="spellEnd"/>
      <w:r>
        <w:t xml:space="preserve">») реакция кожи (по типу гиперчувствительности замедленного типа), </w:t>
      </w:r>
      <w:proofErr w:type="gramStart"/>
      <w:r>
        <w:t>миграция</w:t>
      </w:r>
      <w:proofErr w:type="gramEnd"/>
      <w:r>
        <w:t xml:space="preserve"> клея с его </w:t>
      </w:r>
      <w:proofErr w:type="spellStart"/>
      <w:r>
        <w:t>пролабированием</w:t>
      </w:r>
      <w:proofErr w:type="spellEnd"/>
      <w:r>
        <w:t xml:space="preserve"> в глубокую вену и довольно реже – образование гранулемы мягких тканей в точке венозного доступа [5,</w:t>
      </w:r>
      <w:r>
        <w:t xml:space="preserve"> 23–28]. </w:t>
      </w:r>
      <w:proofErr w:type="spellStart"/>
      <w:r>
        <w:t>Флебитич</w:t>
      </w:r>
      <w:bookmarkStart w:id="0" w:name="_GoBack"/>
      <w:bookmarkEnd w:id="0"/>
      <w:r>
        <w:t>еская</w:t>
      </w:r>
      <w:proofErr w:type="spellEnd"/>
      <w:r>
        <w:t xml:space="preserve"> реакция кожи, возникаю </w:t>
      </w:r>
      <w:proofErr w:type="spellStart"/>
      <w:r>
        <w:t>щая</w:t>
      </w:r>
      <w:proofErr w:type="spellEnd"/>
      <w:r>
        <w:t xml:space="preserve">, как правило, через 1–3 </w:t>
      </w:r>
      <w:proofErr w:type="spellStart"/>
      <w:r>
        <w:t>нед</w:t>
      </w:r>
      <w:proofErr w:type="spellEnd"/>
      <w:r>
        <w:t xml:space="preserve">. после </w:t>
      </w:r>
      <w:proofErr w:type="spellStart"/>
      <w:r>
        <w:t>ЦКО</w:t>
      </w:r>
      <w:proofErr w:type="spellEnd"/>
      <w:r>
        <w:t>, до настоящего времени не имеет общепринятого определения [5, 23–26]. Именно поэтому в доступной литературе частота этого нежелательного явления варьирует в широких пр</w:t>
      </w:r>
      <w:r>
        <w:t xml:space="preserve">еделах – от 1,2 до 25% [5, 6, 23, 24, 26, 28]. Такая частота развития флебита после </w:t>
      </w:r>
      <w:proofErr w:type="spellStart"/>
      <w:r>
        <w:t>ЦКО</w:t>
      </w:r>
      <w:proofErr w:type="spellEnd"/>
      <w:r>
        <w:t xml:space="preserve"> позволяет нам рассматривать эту реакцию в качестве ахиллесовой пяты процедуры. Тем не менее </w:t>
      </w:r>
      <w:proofErr w:type="spellStart"/>
      <w:r>
        <w:lastRenderedPageBreak/>
        <w:t>флебитическая</w:t>
      </w:r>
      <w:proofErr w:type="spellEnd"/>
      <w:r>
        <w:t xml:space="preserve"> реакция имеет обратимый характер и является проявлением гиперч</w:t>
      </w:r>
      <w:r>
        <w:t xml:space="preserve">увствительности к </w:t>
      </w:r>
      <w:proofErr w:type="spellStart"/>
      <w:r>
        <w:t>цианоакрилату</w:t>
      </w:r>
      <w:proofErr w:type="spellEnd"/>
      <w:r>
        <w:t xml:space="preserve"> [5, 23, 24, 26]. K. </w:t>
      </w:r>
      <w:proofErr w:type="spellStart"/>
      <w:r>
        <w:t>Gibson</w:t>
      </w:r>
      <w:proofErr w:type="spellEnd"/>
      <w:r>
        <w:t xml:space="preserve"> и B. </w:t>
      </w:r>
      <w:proofErr w:type="spellStart"/>
      <w:r>
        <w:t>Ferris</w:t>
      </w:r>
      <w:proofErr w:type="spellEnd"/>
      <w:r>
        <w:t xml:space="preserve"> выделяют 3 типа флебита после </w:t>
      </w:r>
      <w:proofErr w:type="spellStart"/>
      <w:r>
        <w:t>ЦКО</w:t>
      </w:r>
      <w:proofErr w:type="spellEnd"/>
      <w:r>
        <w:t xml:space="preserve">: </w:t>
      </w:r>
      <w:proofErr w:type="spellStart"/>
      <w:r>
        <w:t>Р1</w:t>
      </w:r>
      <w:proofErr w:type="spellEnd"/>
      <w:r>
        <w:t xml:space="preserve"> (флебит ствола), </w:t>
      </w:r>
      <w:proofErr w:type="spellStart"/>
      <w:r>
        <w:t>Р2</w:t>
      </w:r>
      <w:proofErr w:type="spellEnd"/>
      <w:r>
        <w:t xml:space="preserve"> (флебит притоков) и </w:t>
      </w:r>
      <w:proofErr w:type="spellStart"/>
      <w:r>
        <w:t>Р3</w:t>
      </w:r>
      <w:proofErr w:type="spellEnd"/>
      <w:r>
        <w:t xml:space="preserve"> (неспецифическая </w:t>
      </w:r>
      <w:proofErr w:type="spellStart"/>
      <w:r>
        <w:t>эритематозная</w:t>
      </w:r>
      <w:proofErr w:type="spellEnd"/>
      <w:r>
        <w:t xml:space="preserve"> реакция) [4]. </w:t>
      </w:r>
    </w:p>
    <w:p w:rsidR="008A1F37" w:rsidRDefault="0094363D">
      <w:pPr>
        <w:ind w:left="-15" w:right="-15"/>
      </w:pPr>
      <w:r>
        <w:t xml:space="preserve">Проксимальная миграция клея с его </w:t>
      </w:r>
      <w:proofErr w:type="spellStart"/>
      <w:r>
        <w:t>пролабированием</w:t>
      </w:r>
      <w:proofErr w:type="spellEnd"/>
      <w:r>
        <w:t xml:space="preserve"> в глубок</w:t>
      </w:r>
      <w:r>
        <w:t xml:space="preserve">ую вену по аналогии с </w:t>
      </w:r>
      <w:proofErr w:type="spellStart"/>
      <w:r>
        <w:t>термоиндуцированным</w:t>
      </w:r>
      <w:proofErr w:type="spellEnd"/>
      <w:r>
        <w:t xml:space="preserve"> тромбозом (</w:t>
      </w:r>
      <w:proofErr w:type="spellStart"/>
      <w:r>
        <w:t>Endothermal</w:t>
      </w:r>
      <w:proofErr w:type="spellEnd"/>
      <w:r>
        <w:t xml:space="preserve"> </w:t>
      </w:r>
      <w:proofErr w:type="spellStart"/>
      <w:r>
        <w:t>Heat</w:t>
      </w:r>
      <w:proofErr w:type="spellEnd"/>
      <w:r>
        <w:t xml:space="preserve">-I </w:t>
      </w:r>
      <w:proofErr w:type="spellStart"/>
      <w:r>
        <w:t>nduced</w:t>
      </w:r>
      <w:proofErr w:type="spellEnd"/>
      <w:r>
        <w:t xml:space="preserve"> </w:t>
      </w:r>
      <w:proofErr w:type="spellStart"/>
      <w:r>
        <w:t>Thrombosis</w:t>
      </w:r>
      <w:proofErr w:type="spellEnd"/>
      <w:r>
        <w:t xml:space="preserve"> – </w:t>
      </w:r>
      <w:proofErr w:type="spellStart"/>
      <w:r>
        <w:t>EHIT</w:t>
      </w:r>
      <w:proofErr w:type="spellEnd"/>
      <w:r>
        <w:t xml:space="preserve">) именуется </w:t>
      </w:r>
      <w:proofErr w:type="spellStart"/>
      <w:r>
        <w:t>эндовенозным</w:t>
      </w:r>
      <w:proofErr w:type="spellEnd"/>
      <w:r>
        <w:t xml:space="preserve"> клей-индуцированным тромбозом (</w:t>
      </w:r>
      <w:proofErr w:type="spellStart"/>
      <w:r>
        <w:t>Endovenous</w:t>
      </w:r>
      <w:proofErr w:type="spellEnd"/>
      <w:r>
        <w:t xml:space="preserve"> </w:t>
      </w:r>
      <w:proofErr w:type="spellStart"/>
      <w:r>
        <w:t>Glue</w:t>
      </w:r>
      <w:proofErr w:type="spellEnd"/>
      <w:r>
        <w:t xml:space="preserve">-I </w:t>
      </w:r>
      <w:proofErr w:type="spellStart"/>
      <w:r>
        <w:t>nduced</w:t>
      </w:r>
      <w:proofErr w:type="spellEnd"/>
      <w:r>
        <w:t xml:space="preserve"> </w:t>
      </w:r>
      <w:proofErr w:type="spellStart"/>
      <w:r>
        <w:t>Thrombosis</w:t>
      </w:r>
      <w:proofErr w:type="spellEnd"/>
      <w:r>
        <w:t xml:space="preserve"> – </w:t>
      </w:r>
      <w:proofErr w:type="spellStart"/>
      <w:r>
        <w:t>EGIT</w:t>
      </w:r>
      <w:proofErr w:type="spellEnd"/>
      <w:r>
        <w:t xml:space="preserve">) [5, 25–28]. Согласно классификации S. </w:t>
      </w:r>
      <w:proofErr w:type="spellStart"/>
      <w:r>
        <w:t>Cho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., при </w:t>
      </w:r>
      <w:proofErr w:type="spellStart"/>
      <w:r>
        <w:t>EGIT</w:t>
      </w:r>
      <w:proofErr w:type="spellEnd"/>
      <w:r>
        <w:t xml:space="preserve"> I</w:t>
      </w:r>
      <w:r>
        <w:t xml:space="preserve"> </w:t>
      </w:r>
      <w:proofErr w:type="spellStart"/>
      <w:r>
        <w:t>пролабирование</w:t>
      </w:r>
      <w:proofErr w:type="spellEnd"/>
      <w:r>
        <w:t xml:space="preserve"> тромба занимает менее 25% просвета глубокой вены, при </w:t>
      </w:r>
      <w:proofErr w:type="spellStart"/>
      <w:r>
        <w:t>EGIT</w:t>
      </w:r>
      <w:proofErr w:type="spellEnd"/>
      <w:r>
        <w:t xml:space="preserve"> </w:t>
      </w:r>
      <w:proofErr w:type="spellStart"/>
      <w:r>
        <w:t>II</w:t>
      </w:r>
      <w:proofErr w:type="spellEnd"/>
      <w:r>
        <w:t xml:space="preserve"> – 25–49% ее просвета, при </w:t>
      </w:r>
      <w:proofErr w:type="spellStart"/>
      <w:r>
        <w:t>EGIT</w:t>
      </w:r>
      <w:proofErr w:type="spellEnd"/>
      <w:r>
        <w:t xml:space="preserve"> </w:t>
      </w:r>
      <w:proofErr w:type="spellStart"/>
      <w:r>
        <w:t>III</w:t>
      </w:r>
      <w:proofErr w:type="spellEnd"/>
      <w:r>
        <w:t xml:space="preserve"> – 50–74% просвета глубокой вены и </w:t>
      </w:r>
      <w:proofErr w:type="spellStart"/>
      <w:r>
        <w:t>EGIT</w:t>
      </w:r>
      <w:proofErr w:type="spellEnd"/>
      <w:r>
        <w:t xml:space="preserve"> </w:t>
      </w:r>
      <w:proofErr w:type="spellStart"/>
      <w:r>
        <w:t>IV</w:t>
      </w:r>
      <w:proofErr w:type="spellEnd"/>
      <w:r>
        <w:t xml:space="preserve"> – представляет тотальную окклюзию глубокой вены [25]. По данным A. </w:t>
      </w:r>
      <w:proofErr w:type="spellStart"/>
      <w:r>
        <w:t>Athavale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., </w:t>
      </w:r>
      <w:proofErr w:type="spellStart"/>
      <w:r>
        <w:t>EGIT</w:t>
      </w:r>
      <w:proofErr w:type="spellEnd"/>
      <w:r>
        <w:t xml:space="preserve"> I, </w:t>
      </w:r>
      <w:proofErr w:type="spellStart"/>
      <w:r>
        <w:t>II</w:t>
      </w:r>
      <w:proofErr w:type="spellEnd"/>
      <w:r>
        <w:t xml:space="preserve"> и </w:t>
      </w:r>
      <w:proofErr w:type="spellStart"/>
      <w:r>
        <w:t>III</w:t>
      </w:r>
      <w:proofErr w:type="spellEnd"/>
      <w:r>
        <w:t xml:space="preserve"> </w:t>
      </w:r>
      <w:r>
        <w:t xml:space="preserve">регрессируют спонтанно спустя 4 </w:t>
      </w:r>
      <w:proofErr w:type="spellStart"/>
      <w:r>
        <w:t>нед</w:t>
      </w:r>
      <w:proofErr w:type="spellEnd"/>
      <w:r>
        <w:t xml:space="preserve">. вне зависимости от использования антикоагулянтов, а </w:t>
      </w:r>
      <w:proofErr w:type="spellStart"/>
      <w:r>
        <w:t>EGIT</w:t>
      </w:r>
      <w:proofErr w:type="spellEnd"/>
      <w:r>
        <w:t xml:space="preserve"> </w:t>
      </w:r>
      <w:proofErr w:type="spellStart"/>
      <w:r>
        <w:t>IV</w:t>
      </w:r>
      <w:proofErr w:type="spellEnd"/>
      <w:r>
        <w:t xml:space="preserve"> в 86% случаях локализуется в глубоких венах голени и крайне редко возникает в общей бедренной и подколенной венах [26]. </w:t>
      </w:r>
    </w:p>
    <w:p w:rsidR="008A1F37" w:rsidRDefault="0094363D">
      <w:pPr>
        <w:ind w:left="-15" w:right="-15"/>
      </w:pPr>
      <w:r>
        <w:t>Гранулема мягких тканей в точке венозн</w:t>
      </w:r>
      <w:r>
        <w:t xml:space="preserve">ого доступа возникает в ответ на </w:t>
      </w:r>
      <w:proofErr w:type="spellStart"/>
      <w:r>
        <w:t>экстравазацию</w:t>
      </w:r>
      <w:proofErr w:type="spellEnd"/>
      <w:r>
        <w:t xml:space="preserve"> клея при извлечении доставочного катетера в конце процедуры. </w:t>
      </w:r>
      <w:proofErr w:type="spellStart"/>
      <w:r>
        <w:t>Абсцедирование</w:t>
      </w:r>
      <w:proofErr w:type="spellEnd"/>
      <w:r>
        <w:t xml:space="preserve"> гранулемы является показанием к его хирургическому иссечению [5, 14, 20, 21, 23]. </w:t>
      </w:r>
    </w:p>
    <w:p w:rsidR="008A1F37" w:rsidRDefault="0094363D">
      <w:pPr>
        <w:ind w:left="-15" w:right="-15"/>
      </w:pPr>
      <w:r>
        <w:t>В зависимости от сроков появления все нежелательны</w:t>
      </w:r>
      <w:r>
        <w:t xml:space="preserve">е явления после </w:t>
      </w:r>
      <w:proofErr w:type="spellStart"/>
      <w:r>
        <w:t>ЦКО</w:t>
      </w:r>
      <w:proofErr w:type="spellEnd"/>
      <w:r>
        <w:t xml:space="preserve"> мы разделяем на </w:t>
      </w:r>
      <w:r>
        <w:rPr>
          <w:i/>
        </w:rPr>
        <w:t xml:space="preserve">ближайшие </w:t>
      </w:r>
      <w:r>
        <w:t xml:space="preserve">(1–3 </w:t>
      </w:r>
      <w:proofErr w:type="spellStart"/>
      <w:r>
        <w:t>сут</w:t>
      </w:r>
      <w:proofErr w:type="spellEnd"/>
      <w:r>
        <w:t xml:space="preserve">.) – миграция клея с его </w:t>
      </w:r>
      <w:proofErr w:type="spellStart"/>
      <w:r>
        <w:t>пролабированием</w:t>
      </w:r>
      <w:proofErr w:type="spellEnd"/>
      <w:r>
        <w:t xml:space="preserve"> </w:t>
      </w:r>
    </w:p>
    <w:sectPr w:rsidR="008A1F37">
      <w:pgSz w:w="10035" w:h="13493"/>
      <w:pgMar w:top="1440" w:right="226" w:bottom="1440" w:left="454" w:header="720" w:footer="720" w:gutter="0"/>
      <w:cols w:num="2" w:space="23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  <w:embedRegular r:id="rId1" w:fontKey="{23375A07-C668-4D7D-A2D7-1FB0C6565E5F}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  <w:embedRegular r:id="rId2" w:fontKey="{A060E6F1-8E7C-40B1-BB93-D5AEBAE6CE40}"/>
  </w:font>
  <w:font w:name="OfficinaSansBookC"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OfficinaSansC"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  <w:embedRegular r:id="rId3" w:fontKey="{192E2C63-20CE-44AF-BDFD-37EBDAF6A1B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TrueTypeFonts/>
  <w:embedSystemFonts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F37"/>
    <w:rsid w:val="00545343"/>
    <w:rsid w:val="008A1F37"/>
    <w:rsid w:val="0094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5CE02-CFDA-405D-A3D9-21CDEBD5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74" w:lineRule="auto"/>
      <w:ind w:right="47" w:firstLine="217"/>
      <w:jc w:val="both"/>
    </w:pPr>
    <w:rPr>
      <w:rFonts w:ascii="OfficinaSansBookC" w:eastAsia="OfficinaSansBookC" w:hAnsi="OfficinaSansBookC" w:cs="OfficinaSansBookC"/>
      <w:color w:val="181717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Антипов Александр Владимирович</dc:creator>
  <cp:keywords/>
  <cp:lastModifiedBy>Антипов Александр Владимирович</cp:lastModifiedBy>
  <cp:revision>2</cp:revision>
  <dcterms:created xsi:type="dcterms:W3CDTF">2025-09-22T07:19:00Z</dcterms:created>
  <dcterms:modified xsi:type="dcterms:W3CDTF">2025-09-22T07:19:00Z</dcterms:modified>
</cp:coreProperties>
</file>